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DF3ED70" w14:textId="77777777" w:rsidTr="00F16171">
        <w:tc>
          <w:tcPr>
            <w:tcW w:w="9275" w:type="dxa"/>
            <w:gridSpan w:val="2"/>
            <w:shd w:val="clear" w:color="auto" w:fill="000000" w:themeFill="text1"/>
          </w:tcPr>
          <w:p w14:paraId="5F5012F3" w14:textId="77777777" w:rsidR="00F16171" w:rsidRPr="00F75C88" w:rsidRDefault="00F16171" w:rsidP="00F75C88">
            <w:pPr>
              <w:pStyle w:val="Heading1"/>
            </w:pPr>
            <w:r w:rsidRPr="00F75C88">
              <w:t>Project Information</w:t>
            </w:r>
          </w:p>
        </w:tc>
      </w:tr>
      <w:tr w:rsidR="00F16171" w14:paraId="124CA6F2" w14:textId="77777777" w:rsidTr="00F16171">
        <w:tc>
          <w:tcPr>
            <w:tcW w:w="3055" w:type="dxa"/>
            <w:shd w:val="clear" w:color="auto" w:fill="D9D9D9" w:themeFill="background1" w:themeFillShade="D9"/>
          </w:tcPr>
          <w:p w14:paraId="31E8B083" w14:textId="77777777" w:rsidR="00F16171" w:rsidRPr="00F75C88" w:rsidRDefault="00F16171" w:rsidP="00F75C88">
            <w:pPr>
              <w:pStyle w:val="Heading2"/>
            </w:pPr>
            <w:r w:rsidRPr="00F75C88">
              <w:t>Project Title</w:t>
            </w:r>
          </w:p>
        </w:tc>
        <w:tc>
          <w:tcPr>
            <w:tcW w:w="6220" w:type="dxa"/>
          </w:tcPr>
          <w:p w14:paraId="46C86EBA" w14:textId="232EDE46" w:rsidR="00F16171" w:rsidRPr="00795905" w:rsidRDefault="00795905" w:rsidP="00F75C88">
            <w:pPr>
              <w:rPr>
                <w:rFonts w:asciiTheme="minorHAnsi" w:hAnsiTheme="minorHAnsi" w:cstheme="minorHAnsi"/>
              </w:rPr>
            </w:pPr>
            <w:r w:rsidRPr="00795905">
              <w:rPr>
                <w:rFonts w:asciiTheme="minorHAnsi" w:hAnsiTheme="minorHAnsi" w:cstheme="minorHAnsi"/>
              </w:rPr>
              <w:t>Making Your Microsoft Word Documents Accessible</w:t>
            </w:r>
          </w:p>
        </w:tc>
      </w:tr>
      <w:tr w:rsidR="00F16171" w14:paraId="259249BE" w14:textId="77777777" w:rsidTr="00F16171">
        <w:tc>
          <w:tcPr>
            <w:tcW w:w="3055" w:type="dxa"/>
            <w:shd w:val="clear" w:color="auto" w:fill="D9D9D9" w:themeFill="background1" w:themeFillShade="D9"/>
          </w:tcPr>
          <w:p w14:paraId="21AD4F6F" w14:textId="4A62ABC7" w:rsidR="00F16171" w:rsidRPr="00F16171" w:rsidRDefault="00F16171" w:rsidP="00F75C88">
            <w:pPr>
              <w:pStyle w:val="Heading2"/>
            </w:pPr>
            <w:r w:rsidRPr="00F16171">
              <w:t xml:space="preserve">Project </w:t>
            </w:r>
            <w:r w:rsidR="00323FD5">
              <w:t>Purpose</w:t>
            </w:r>
          </w:p>
        </w:tc>
        <w:tc>
          <w:tcPr>
            <w:tcW w:w="6220" w:type="dxa"/>
          </w:tcPr>
          <w:p w14:paraId="10CD0DAC" w14:textId="5B668CB9" w:rsidR="00F16171" w:rsidRPr="00795905" w:rsidRDefault="00795905" w:rsidP="00F75C88">
            <w:pPr>
              <w:rPr>
                <w:rFonts w:asciiTheme="minorHAnsi" w:hAnsiTheme="minorHAnsi" w:cstheme="minorHAnsi"/>
              </w:rPr>
            </w:pPr>
            <w:r w:rsidRPr="00795905">
              <w:rPr>
                <w:rFonts w:asciiTheme="minorHAnsi" w:hAnsiTheme="minorHAnsi" w:cstheme="minorHAnsi"/>
              </w:rPr>
              <w:t>To design and deliver practical, accessible training and performance support that enables faculty to create and remediate Microsoft Word documents using core accessibility practices aligned to WCAG 2.1.</w:t>
            </w:r>
          </w:p>
        </w:tc>
      </w:tr>
    </w:tbl>
    <w:p w14:paraId="24E7608F" w14:textId="7C030FD8" w:rsidR="00C6345C" w:rsidRDefault="00C6345C" w:rsidP="00F75C88"/>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59FD400" w14:textId="77777777" w:rsidTr="00F16171">
        <w:tc>
          <w:tcPr>
            <w:tcW w:w="9275" w:type="dxa"/>
            <w:gridSpan w:val="2"/>
            <w:shd w:val="clear" w:color="auto" w:fill="000000" w:themeFill="text1"/>
          </w:tcPr>
          <w:p w14:paraId="0720EFE5" w14:textId="06272369" w:rsidR="00F16171" w:rsidRDefault="00F16171" w:rsidP="00F75C88">
            <w:pPr>
              <w:pStyle w:val="Heading1"/>
            </w:pPr>
            <w:r>
              <w:t>Roles &amp; Responsibilities</w:t>
            </w:r>
          </w:p>
        </w:tc>
      </w:tr>
      <w:tr w:rsidR="00F16171" w14:paraId="471FB001" w14:textId="77777777" w:rsidTr="00F16171">
        <w:tc>
          <w:tcPr>
            <w:tcW w:w="3055" w:type="dxa"/>
            <w:shd w:val="clear" w:color="auto" w:fill="D9D9D9" w:themeFill="background1" w:themeFillShade="D9"/>
          </w:tcPr>
          <w:p w14:paraId="2F94B322" w14:textId="6374A938" w:rsidR="00F16171" w:rsidRPr="00F16171" w:rsidRDefault="006953E4" w:rsidP="00F75C88">
            <w:pPr>
              <w:pStyle w:val="Heading2"/>
            </w:pPr>
            <w:r>
              <w:t>Stakeholder</w:t>
            </w:r>
          </w:p>
        </w:tc>
        <w:tc>
          <w:tcPr>
            <w:tcW w:w="6220" w:type="dxa"/>
          </w:tcPr>
          <w:p w14:paraId="76A8DC7D" w14:textId="4D0F1F47" w:rsidR="00F16171" w:rsidRPr="00795905" w:rsidRDefault="007218E6" w:rsidP="00F75C88">
            <w:pPr>
              <w:rPr>
                <w:rFonts w:ascii="Calibri" w:hAnsi="Calibri" w:cs="Calibri"/>
              </w:rPr>
            </w:pPr>
            <w:r w:rsidRPr="00795905">
              <w:rPr>
                <w:rFonts w:ascii="Calibri" w:hAnsi="Calibri" w:cs="Calibri"/>
              </w:rPr>
              <w:t>BGSU Center for Faculty Excellence</w:t>
            </w:r>
            <w:r w:rsidR="00795905" w:rsidRPr="00795905">
              <w:rPr>
                <w:rFonts w:ascii="Calibri" w:hAnsi="Calibri" w:cs="Calibri"/>
              </w:rPr>
              <w:br/>
              <w:t>Caitlin Bartholic, Designer &amp; Trainer</w:t>
            </w:r>
          </w:p>
        </w:tc>
      </w:tr>
      <w:tr w:rsidR="00F16171" w14:paraId="56CEAA44" w14:textId="77777777" w:rsidTr="00F16171">
        <w:tc>
          <w:tcPr>
            <w:tcW w:w="3055" w:type="dxa"/>
            <w:shd w:val="clear" w:color="auto" w:fill="D9D9D9" w:themeFill="background1" w:themeFillShade="D9"/>
          </w:tcPr>
          <w:p w14:paraId="25AFF54D" w14:textId="0151E661" w:rsidR="00F16171" w:rsidRPr="00F16171" w:rsidRDefault="006953E4" w:rsidP="00F75C88">
            <w:pPr>
              <w:pStyle w:val="Heading2"/>
            </w:pPr>
            <w:r>
              <w:t>Subject Matter Expert</w:t>
            </w:r>
          </w:p>
        </w:tc>
        <w:tc>
          <w:tcPr>
            <w:tcW w:w="6220" w:type="dxa"/>
          </w:tcPr>
          <w:p w14:paraId="6A6243C4" w14:textId="673EABBA" w:rsidR="00F16171" w:rsidRPr="00795905" w:rsidRDefault="007218E6" w:rsidP="00F75C88">
            <w:pPr>
              <w:rPr>
                <w:rFonts w:ascii="Calibri" w:hAnsi="Calibri" w:cs="Calibri"/>
              </w:rPr>
            </w:pPr>
            <w:r w:rsidRPr="00795905">
              <w:rPr>
                <w:rFonts w:ascii="Calibri" w:hAnsi="Calibri" w:cs="Calibri"/>
              </w:rPr>
              <w:t>Chelsea Chandler, Director CFE</w:t>
            </w:r>
            <w:r w:rsidRPr="00795905">
              <w:rPr>
                <w:rFonts w:ascii="Calibri" w:hAnsi="Calibri" w:cs="Calibri"/>
              </w:rPr>
              <w:br/>
              <w:t>Caitlin Bartholic</w:t>
            </w:r>
            <w:r w:rsidR="00795905" w:rsidRPr="00795905">
              <w:rPr>
                <w:rFonts w:ascii="Calibri" w:hAnsi="Calibri" w:cs="Calibri"/>
              </w:rPr>
              <w:t>, Accessibility Consultant</w:t>
            </w:r>
          </w:p>
        </w:tc>
      </w:tr>
      <w:tr w:rsidR="00F16171" w14:paraId="55FF2880" w14:textId="77777777" w:rsidTr="00F16171">
        <w:tc>
          <w:tcPr>
            <w:tcW w:w="3055" w:type="dxa"/>
            <w:shd w:val="clear" w:color="auto" w:fill="D9D9D9" w:themeFill="background1" w:themeFillShade="D9"/>
          </w:tcPr>
          <w:p w14:paraId="44D981B7" w14:textId="0243D33B" w:rsidR="00F16171" w:rsidRPr="00F16171" w:rsidRDefault="006953E4" w:rsidP="00F75C88">
            <w:pPr>
              <w:pStyle w:val="Heading2"/>
            </w:pPr>
            <w:r>
              <w:t>Project Owner</w:t>
            </w:r>
          </w:p>
        </w:tc>
        <w:tc>
          <w:tcPr>
            <w:tcW w:w="6220" w:type="dxa"/>
          </w:tcPr>
          <w:p w14:paraId="67522916" w14:textId="34AEB311" w:rsidR="00F16171" w:rsidRPr="00795905" w:rsidRDefault="00795905" w:rsidP="00F75C88">
            <w:pPr>
              <w:rPr>
                <w:rFonts w:ascii="Calibri" w:hAnsi="Calibri" w:cs="Calibri"/>
              </w:rPr>
            </w:pPr>
            <w:r w:rsidRPr="00795905">
              <w:rPr>
                <w:rFonts w:ascii="Calibri" w:hAnsi="Calibri" w:cs="Calibri"/>
              </w:rPr>
              <w:t>Chelsea Chandler – Director CFE</w:t>
            </w:r>
            <w:r w:rsidRPr="00795905">
              <w:rPr>
                <w:rFonts w:ascii="Calibri" w:hAnsi="Calibri" w:cs="Calibri"/>
              </w:rPr>
              <w:br/>
              <w:t>Defines institutional goals, prioritizing accessibility initiatives, approving scope, timelines, and final deliverables.</w:t>
            </w:r>
          </w:p>
        </w:tc>
      </w:tr>
    </w:tbl>
    <w:p w14:paraId="1C83CB74" w14:textId="0EF61166" w:rsidR="00F16171" w:rsidRDefault="00F16171" w:rsidP="00F75C88"/>
    <w:tbl>
      <w:tblPr>
        <w:tblStyle w:val="TableGrid"/>
        <w:tblW w:w="0" w:type="auto"/>
        <w:tblCellMar>
          <w:top w:w="115" w:type="dxa"/>
          <w:bottom w:w="115" w:type="dxa"/>
        </w:tblCellMar>
        <w:tblLook w:val="04A0" w:firstRow="1" w:lastRow="0" w:firstColumn="1" w:lastColumn="0" w:noHBand="0" w:noVBand="1"/>
      </w:tblPr>
      <w:tblGrid>
        <w:gridCol w:w="3055"/>
        <w:gridCol w:w="6220"/>
      </w:tblGrid>
      <w:tr w:rsidR="00D67D1F" w14:paraId="603B4428" w14:textId="77777777" w:rsidTr="00D50309">
        <w:tc>
          <w:tcPr>
            <w:tcW w:w="9275" w:type="dxa"/>
            <w:gridSpan w:val="2"/>
            <w:shd w:val="clear" w:color="auto" w:fill="000000" w:themeFill="text1"/>
          </w:tcPr>
          <w:p w14:paraId="0BC002E2" w14:textId="4EAFCDC3" w:rsidR="00D67D1F" w:rsidRDefault="00826C4B" w:rsidP="00F75C88">
            <w:pPr>
              <w:pStyle w:val="Heading1"/>
            </w:pPr>
            <w:r>
              <w:t xml:space="preserve">Audience, </w:t>
            </w:r>
            <w:r w:rsidR="00D67D1F">
              <w:t>Goals &amp; Objectives</w:t>
            </w:r>
          </w:p>
        </w:tc>
      </w:tr>
      <w:tr w:rsidR="00826C4B" w:rsidRPr="00F16171" w14:paraId="507B9BCC" w14:textId="77777777" w:rsidTr="00D50309">
        <w:tc>
          <w:tcPr>
            <w:tcW w:w="3055" w:type="dxa"/>
            <w:shd w:val="clear" w:color="auto" w:fill="D9D9D9" w:themeFill="background1" w:themeFillShade="D9"/>
          </w:tcPr>
          <w:p w14:paraId="326777BD" w14:textId="6A442F60" w:rsidR="00826C4B" w:rsidRDefault="00826C4B" w:rsidP="00F75C88">
            <w:pPr>
              <w:pStyle w:val="Heading2"/>
            </w:pPr>
            <w:r>
              <w:t>Target Audience</w:t>
            </w:r>
          </w:p>
        </w:tc>
        <w:tc>
          <w:tcPr>
            <w:tcW w:w="6220" w:type="dxa"/>
          </w:tcPr>
          <w:p w14:paraId="46694B53" w14:textId="1EFCF733" w:rsidR="00826C4B" w:rsidRPr="00795905" w:rsidRDefault="007218E6" w:rsidP="00F75C88">
            <w:pPr>
              <w:rPr>
                <w:rFonts w:ascii="Calibri" w:hAnsi="Calibri" w:cs="Calibri"/>
              </w:rPr>
            </w:pPr>
            <w:r w:rsidRPr="00795905">
              <w:rPr>
                <w:rFonts w:ascii="Calibri" w:hAnsi="Calibri" w:cs="Calibri"/>
              </w:rPr>
              <w:t>BGSU Learning Community (</w:t>
            </w:r>
            <w:r w:rsidR="00795905" w:rsidRPr="00795905">
              <w:rPr>
                <w:rFonts w:ascii="Calibri" w:hAnsi="Calibri" w:cs="Calibri"/>
              </w:rPr>
              <w:t>staff, faculty</w:t>
            </w:r>
            <w:r w:rsidRPr="00795905">
              <w:rPr>
                <w:rFonts w:ascii="Calibri" w:hAnsi="Calibri" w:cs="Calibri"/>
              </w:rPr>
              <w:t>, professors)</w:t>
            </w:r>
          </w:p>
        </w:tc>
      </w:tr>
      <w:tr w:rsidR="00D67D1F" w:rsidRPr="00F16171" w14:paraId="7EDA516A" w14:textId="77777777" w:rsidTr="00D50309">
        <w:tc>
          <w:tcPr>
            <w:tcW w:w="3055" w:type="dxa"/>
            <w:shd w:val="clear" w:color="auto" w:fill="D9D9D9" w:themeFill="background1" w:themeFillShade="D9"/>
          </w:tcPr>
          <w:p w14:paraId="5CB2AB3D" w14:textId="7AC78A85" w:rsidR="00D67D1F" w:rsidRPr="00F16171" w:rsidRDefault="00D67D1F" w:rsidP="00F75C88">
            <w:pPr>
              <w:pStyle w:val="Heading2"/>
            </w:pPr>
            <w:r>
              <w:t>Project Goal</w:t>
            </w:r>
          </w:p>
        </w:tc>
        <w:tc>
          <w:tcPr>
            <w:tcW w:w="6220" w:type="dxa"/>
          </w:tcPr>
          <w:p w14:paraId="4D6034E7" w14:textId="0579F557" w:rsidR="00D67D1F" w:rsidRPr="00795905" w:rsidRDefault="00795905" w:rsidP="00F75C88">
            <w:pPr>
              <w:rPr>
                <w:rFonts w:ascii="Calibri" w:hAnsi="Calibri" w:cs="Calibri"/>
              </w:rPr>
            </w:pPr>
            <w:r w:rsidRPr="00795905">
              <w:rPr>
                <w:rFonts w:ascii="Calibri" w:hAnsi="Calibri" w:cs="Calibri"/>
              </w:rPr>
              <w:t>The goal of this project is to support faculty in creating and remediating accessible Microsoft Word documents by providing clear, practical training and resources that promote consistent application of core accessibility practices aligned with WCAG 2.1.</w:t>
            </w:r>
          </w:p>
        </w:tc>
      </w:tr>
      <w:tr w:rsidR="00D67D1F" w:rsidRPr="00F16171" w14:paraId="59E35A68" w14:textId="77777777" w:rsidTr="00D50309">
        <w:tc>
          <w:tcPr>
            <w:tcW w:w="3055" w:type="dxa"/>
            <w:shd w:val="clear" w:color="auto" w:fill="D9D9D9" w:themeFill="background1" w:themeFillShade="D9"/>
          </w:tcPr>
          <w:p w14:paraId="18724500" w14:textId="414C5D21" w:rsidR="00D67D1F" w:rsidRPr="00F16171" w:rsidRDefault="00D67D1F" w:rsidP="00F75C88">
            <w:pPr>
              <w:pStyle w:val="Heading2"/>
            </w:pPr>
            <w:r>
              <w:t>Learning Objectives</w:t>
            </w:r>
          </w:p>
        </w:tc>
        <w:tc>
          <w:tcPr>
            <w:tcW w:w="6220" w:type="dxa"/>
          </w:tcPr>
          <w:p w14:paraId="01923E34" w14:textId="516404BB" w:rsidR="00D67D1F" w:rsidRPr="00795905" w:rsidRDefault="00D67D1F" w:rsidP="00F75C88">
            <w:pPr>
              <w:rPr>
                <w:rFonts w:asciiTheme="minorHAnsi" w:hAnsiTheme="minorHAnsi" w:cstheme="minorHAnsi"/>
              </w:rPr>
            </w:pPr>
            <w:r w:rsidRPr="00795905">
              <w:rPr>
                <w:rFonts w:asciiTheme="minorHAnsi" w:hAnsiTheme="minorHAnsi" w:cstheme="minorHAnsi"/>
              </w:rPr>
              <w:t xml:space="preserve">After completing this training, </w:t>
            </w:r>
            <w:r w:rsidR="006953E4" w:rsidRPr="00795905">
              <w:rPr>
                <w:rFonts w:asciiTheme="minorHAnsi" w:hAnsiTheme="minorHAnsi" w:cstheme="minorHAnsi"/>
              </w:rPr>
              <w:t xml:space="preserve">employees </w:t>
            </w:r>
            <w:r w:rsidRPr="00795905">
              <w:rPr>
                <w:rFonts w:asciiTheme="minorHAnsi" w:hAnsiTheme="minorHAnsi" w:cstheme="minorHAnsi"/>
              </w:rPr>
              <w:t>will be able to…</w:t>
            </w:r>
          </w:p>
          <w:p w14:paraId="2D2C56E8" w14:textId="77777777" w:rsidR="00795905" w:rsidRPr="00795905" w:rsidRDefault="00795905" w:rsidP="00795905">
            <w:pPr>
              <w:pStyle w:val="NormalWeb"/>
              <w:numPr>
                <w:ilvl w:val="0"/>
                <w:numId w:val="7"/>
              </w:numPr>
              <w:rPr>
                <w:rFonts w:asciiTheme="minorHAnsi" w:hAnsiTheme="minorHAnsi" w:cstheme="minorHAnsi"/>
                <w:sz w:val="18"/>
                <w:szCs w:val="18"/>
              </w:rPr>
            </w:pPr>
            <w:r w:rsidRPr="00795905">
              <w:rPr>
                <w:rFonts w:asciiTheme="minorHAnsi" w:hAnsiTheme="minorHAnsi" w:cstheme="minorHAnsi"/>
                <w:sz w:val="18"/>
                <w:szCs w:val="18"/>
              </w:rPr>
              <w:t>Apply accessible heading structure in a Word document by correctly assigning Heading 1, Heading 2, and Heading 3 styles.</w:t>
            </w:r>
          </w:p>
          <w:p w14:paraId="190EDD52" w14:textId="77777777" w:rsidR="00795905" w:rsidRPr="00795905" w:rsidRDefault="00795905" w:rsidP="00795905">
            <w:pPr>
              <w:pStyle w:val="NormalWeb"/>
              <w:numPr>
                <w:ilvl w:val="0"/>
                <w:numId w:val="7"/>
              </w:numPr>
              <w:rPr>
                <w:rFonts w:asciiTheme="minorHAnsi" w:hAnsiTheme="minorHAnsi" w:cstheme="minorHAnsi"/>
                <w:sz w:val="18"/>
                <w:szCs w:val="18"/>
              </w:rPr>
            </w:pPr>
            <w:r w:rsidRPr="00795905">
              <w:rPr>
                <w:rFonts w:asciiTheme="minorHAnsi" w:hAnsiTheme="minorHAnsi" w:cstheme="minorHAnsi"/>
                <w:sz w:val="18"/>
                <w:szCs w:val="18"/>
              </w:rPr>
              <w:t>Evaluate and adjust text contrast using a simple contrast checking tool to ensure readable color combinations.</w:t>
            </w:r>
          </w:p>
          <w:p w14:paraId="6A4D60DD" w14:textId="77777777" w:rsidR="00795905" w:rsidRPr="00795905" w:rsidRDefault="00795905" w:rsidP="00795905">
            <w:pPr>
              <w:pStyle w:val="NormalWeb"/>
              <w:numPr>
                <w:ilvl w:val="0"/>
                <w:numId w:val="7"/>
              </w:numPr>
              <w:rPr>
                <w:rFonts w:asciiTheme="minorHAnsi" w:hAnsiTheme="minorHAnsi" w:cstheme="minorHAnsi"/>
                <w:sz w:val="18"/>
                <w:szCs w:val="18"/>
              </w:rPr>
            </w:pPr>
            <w:r w:rsidRPr="00795905">
              <w:rPr>
                <w:rFonts w:asciiTheme="minorHAnsi" w:hAnsiTheme="minorHAnsi" w:cstheme="minorHAnsi"/>
                <w:sz w:val="18"/>
                <w:szCs w:val="18"/>
              </w:rPr>
              <w:t>Write concise, meaningful alt text for at least two types of images commonly used in academic materials.</w:t>
            </w:r>
          </w:p>
          <w:p w14:paraId="3589E277" w14:textId="77777777" w:rsidR="00795905" w:rsidRPr="00795905" w:rsidRDefault="00795905" w:rsidP="00795905">
            <w:pPr>
              <w:pStyle w:val="NormalWeb"/>
              <w:numPr>
                <w:ilvl w:val="0"/>
                <w:numId w:val="7"/>
              </w:numPr>
              <w:rPr>
                <w:rFonts w:asciiTheme="minorHAnsi" w:hAnsiTheme="minorHAnsi" w:cstheme="minorHAnsi"/>
                <w:sz w:val="18"/>
                <w:szCs w:val="18"/>
              </w:rPr>
            </w:pPr>
            <w:r w:rsidRPr="00795905">
              <w:rPr>
                <w:rFonts w:asciiTheme="minorHAnsi" w:hAnsiTheme="minorHAnsi" w:cstheme="minorHAnsi"/>
                <w:sz w:val="18"/>
                <w:szCs w:val="18"/>
              </w:rPr>
              <w:t>Revise non-descriptive hyperlinks into clear, purposeful text.</w:t>
            </w:r>
          </w:p>
          <w:p w14:paraId="72CDBD48" w14:textId="05C1C374" w:rsidR="006953E4" w:rsidRPr="00D67D1F" w:rsidRDefault="00795905" w:rsidP="00795905">
            <w:pPr>
              <w:pStyle w:val="ListParagraph"/>
              <w:numPr>
                <w:ilvl w:val="0"/>
                <w:numId w:val="7"/>
              </w:numPr>
            </w:pPr>
            <w:r w:rsidRPr="00795905">
              <w:rPr>
                <w:rFonts w:asciiTheme="minorHAnsi" w:hAnsiTheme="minorHAnsi" w:cstheme="minorHAnsi"/>
                <w:sz w:val="18"/>
                <w:szCs w:val="18"/>
              </w:rPr>
              <w:t>Format documents using accessible fonts and spacing to improve readability and navigation for all learners.</w:t>
            </w:r>
          </w:p>
        </w:tc>
      </w:tr>
    </w:tbl>
    <w:p w14:paraId="50BC8F6A" w14:textId="77777777" w:rsidR="00D67D1F" w:rsidRDefault="00D67D1F" w:rsidP="00F75C88"/>
    <w:p w14:paraId="03160812" w14:textId="77777777" w:rsidR="00795905" w:rsidRDefault="00795905" w:rsidP="00F75C88"/>
    <w:p w14:paraId="010E7172" w14:textId="77777777" w:rsidR="00795905" w:rsidRDefault="00795905" w:rsidP="00F75C88"/>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0BCF4ACB" w14:textId="77777777" w:rsidTr="00F16171">
        <w:tc>
          <w:tcPr>
            <w:tcW w:w="9275" w:type="dxa"/>
            <w:gridSpan w:val="2"/>
            <w:shd w:val="clear" w:color="auto" w:fill="000000" w:themeFill="text1"/>
          </w:tcPr>
          <w:p w14:paraId="36B2FE37" w14:textId="56B412B6" w:rsidR="00F16171" w:rsidRDefault="00F16171" w:rsidP="00F75C88">
            <w:pPr>
              <w:pStyle w:val="Heading1"/>
            </w:pPr>
            <w:r>
              <w:lastRenderedPageBreak/>
              <w:t>Project Deliverables</w:t>
            </w:r>
          </w:p>
        </w:tc>
      </w:tr>
      <w:tr w:rsidR="00F16171" w14:paraId="78E48D32" w14:textId="77777777" w:rsidTr="00F16171">
        <w:tc>
          <w:tcPr>
            <w:tcW w:w="3055" w:type="dxa"/>
            <w:shd w:val="clear" w:color="auto" w:fill="D9D9D9" w:themeFill="background1" w:themeFillShade="D9"/>
          </w:tcPr>
          <w:p w14:paraId="2A74F3D0" w14:textId="69E0A83E" w:rsidR="00F16171" w:rsidRPr="00F16171" w:rsidRDefault="00D67D1F" w:rsidP="00F75C88">
            <w:pPr>
              <w:pStyle w:val="Heading2"/>
            </w:pPr>
            <w:r>
              <w:t>Deliverable</w:t>
            </w:r>
          </w:p>
        </w:tc>
        <w:tc>
          <w:tcPr>
            <w:tcW w:w="6220" w:type="dxa"/>
          </w:tcPr>
          <w:p w14:paraId="63BA3087" w14:textId="0AB9AD65" w:rsidR="00F16171" w:rsidRPr="005311F0" w:rsidRDefault="00795905" w:rsidP="00F75C88">
            <w:pPr>
              <w:rPr>
                <w:rFonts w:ascii="Calibri" w:hAnsi="Calibri" w:cs="Calibri"/>
              </w:rPr>
            </w:pPr>
            <w:r w:rsidRPr="005311F0">
              <w:rPr>
                <w:rFonts w:ascii="Calibri" w:hAnsi="Calibri" w:cs="Calibri"/>
              </w:rPr>
              <w:t>90 Minute Workshop Facilitation with outline and PowerPoint slide deck</w:t>
            </w:r>
          </w:p>
        </w:tc>
      </w:tr>
      <w:tr w:rsidR="00F16171" w14:paraId="46D40A77" w14:textId="77777777" w:rsidTr="00F16171">
        <w:tc>
          <w:tcPr>
            <w:tcW w:w="3055" w:type="dxa"/>
            <w:shd w:val="clear" w:color="auto" w:fill="D9D9D9" w:themeFill="background1" w:themeFillShade="D9"/>
          </w:tcPr>
          <w:p w14:paraId="7309B56A" w14:textId="45AD06D0" w:rsidR="00F16171" w:rsidRPr="00F16171" w:rsidRDefault="00D67D1F" w:rsidP="00F75C88">
            <w:pPr>
              <w:pStyle w:val="Heading2"/>
            </w:pPr>
            <w:r>
              <w:t>Deliverable</w:t>
            </w:r>
          </w:p>
        </w:tc>
        <w:tc>
          <w:tcPr>
            <w:tcW w:w="6220" w:type="dxa"/>
          </w:tcPr>
          <w:p w14:paraId="5BAB52A5" w14:textId="1CC25912" w:rsidR="00F16171" w:rsidRPr="005311F0" w:rsidRDefault="00795905" w:rsidP="00F75C88">
            <w:pPr>
              <w:rPr>
                <w:rFonts w:ascii="Calibri" w:hAnsi="Calibri" w:cs="Calibri"/>
              </w:rPr>
            </w:pPr>
            <w:r w:rsidRPr="005311F0">
              <w:rPr>
                <w:rFonts w:ascii="Calibri" w:hAnsi="Calibri" w:cs="Calibri"/>
              </w:rPr>
              <w:t>Video Tutorial with Transcript (.txt) on each topic:</w:t>
            </w:r>
          </w:p>
          <w:p w14:paraId="1CF8E4D4" w14:textId="2F552621" w:rsidR="006953E4" w:rsidRPr="005311F0" w:rsidRDefault="00795905" w:rsidP="006953E4">
            <w:pPr>
              <w:pStyle w:val="ListParagraph"/>
              <w:numPr>
                <w:ilvl w:val="0"/>
                <w:numId w:val="9"/>
              </w:numPr>
              <w:rPr>
                <w:rFonts w:ascii="Calibri" w:hAnsi="Calibri" w:cs="Calibri"/>
              </w:rPr>
            </w:pPr>
            <w:r w:rsidRPr="005311F0">
              <w:rPr>
                <w:rFonts w:ascii="Calibri" w:hAnsi="Calibri" w:cs="Calibri"/>
              </w:rPr>
              <w:t>Color Contrast</w:t>
            </w:r>
          </w:p>
          <w:p w14:paraId="65F5BD19" w14:textId="7AB11912" w:rsidR="006953E4" w:rsidRPr="005311F0" w:rsidRDefault="00795905" w:rsidP="006953E4">
            <w:pPr>
              <w:pStyle w:val="ListParagraph"/>
              <w:numPr>
                <w:ilvl w:val="0"/>
                <w:numId w:val="9"/>
              </w:numPr>
              <w:rPr>
                <w:rFonts w:ascii="Calibri" w:hAnsi="Calibri" w:cs="Calibri"/>
              </w:rPr>
            </w:pPr>
            <w:r w:rsidRPr="005311F0">
              <w:rPr>
                <w:rFonts w:ascii="Calibri" w:hAnsi="Calibri" w:cs="Calibri"/>
              </w:rPr>
              <w:t>Alt Text</w:t>
            </w:r>
          </w:p>
          <w:p w14:paraId="287203DA" w14:textId="2976B67D" w:rsidR="006953E4" w:rsidRPr="005311F0" w:rsidRDefault="00795905" w:rsidP="006953E4">
            <w:pPr>
              <w:pStyle w:val="ListParagraph"/>
              <w:numPr>
                <w:ilvl w:val="0"/>
                <w:numId w:val="9"/>
              </w:numPr>
              <w:rPr>
                <w:rFonts w:ascii="Calibri" w:hAnsi="Calibri" w:cs="Calibri"/>
              </w:rPr>
            </w:pPr>
            <w:r w:rsidRPr="005311F0">
              <w:rPr>
                <w:rFonts w:ascii="Calibri" w:hAnsi="Calibri" w:cs="Calibri"/>
              </w:rPr>
              <w:t>Heading Structure</w:t>
            </w:r>
          </w:p>
          <w:p w14:paraId="0105CFF2" w14:textId="74F79C1B" w:rsidR="006953E4" w:rsidRPr="005311F0" w:rsidRDefault="00795905" w:rsidP="006953E4">
            <w:pPr>
              <w:pStyle w:val="ListParagraph"/>
              <w:numPr>
                <w:ilvl w:val="0"/>
                <w:numId w:val="9"/>
              </w:numPr>
              <w:rPr>
                <w:rFonts w:ascii="Calibri" w:hAnsi="Calibri" w:cs="Calibri"/>
              </w:rPr>
            </w:pPr>
            <w:r w:rsidRPr="005311F0">
              <w:rPr>
                <w:rFonts w:ascii="Calibri" w:hAnsi="Calibri" w:cs="Calibri"/>
              </w:rPr>
              <w:t>Hyperlinks</w:t>
            </w:r>
          </w:p>
          <w:p w14:paraId="5681A642" w14:textId="49D3FEC0" w:rsidR="006953E4" w:rsidRPr="005311F0" w:rsidRDefault="00795905" w:rsidP="006953E4">
            <w:pPr>
              <w:pStyle w:val="ListParagraph"/>
              <w:numPr>
                <w:ilvl w:val="0"/>
                <w:numId w:val="9"/>
              </w:numPr>
              <w:rPr>
                <w:rFonts w:ascii="Calibri" w:hAnsi="Calibri" w:cs="Calibri"/>
              </w:rPr>
            </w:pPr>
            <w:r w:rsidRPr="005311F0">
              <w:rPr>
                <w:rFonts w:ascii="Calibri" w:hAnsi="Calibri" w:cs="Calibri"/>
              </w:rPr>
              <w:t>Fonts &amp; Style</w:t>
            </w:r>
          </w:p>
        </w:tc>
      </w:tr>
      <w:tr w:rsidR="00795905" w14:paraId="13EEA0A2" w14:textId="77777777" w:rsidTr="00F16171">
        <w:tc>
          <w:tcPr>
            <w:tcW w:w="3055" w:type="dxa"/>
            <w:shd w:val="clear" w:color="auto" w:fill="D9D9D9" w:themeFill="background1" w:themeFillShade="D9"/>
          </w:tcPr>
          <w:p w14:paraId="42BF9963" w14:textId="45AF7B83" w:rsidR="00795905" w:rsidRDefault="00795905" w:rsidP="00F75C88">
            <w:pPr>
              <w:pStyle w:val="Heading2"/>
            </w:pPr>
            <w:r>
              <w:t>Deliverable</w:t>
            </w:r>
          </w:p>
        </w:tc>
        <w:tc>
          <w:tcPr>
            <w:tcW w:w="6220" w:type="dxa"/>
          </w:tcPr>
          <w:p w14:paraId="4B6C470D" w14:textId="27EB5D5D" w:rsidR="00795905" w:rsidRPr="005311F0" w:rsidRDefault="00795905" w:rsidP="00F75C88">
            <w:pPr>
              <w:rPr>
                <w:rFonts w:ascii="Calibri" w:hAnsi="Calibri" w:cs="Calibri"/>
              </w:rPr>
            </w:pPr>
            <w:r w:rsidRPr="005311F0">
              <w:rPr>
                <w:rFonts w:ascii="Calibri" w:hAnsi="Calibri" w:cs="Calibri"/>
              </w:rPr>
              <w:t>Word Accessibility Checklist (Accessible Word Document)</w:t>
            </w:r>
          </w:p>
        </w:tc>
      </w:tr>
    </w:tbl>
    <w:p w14:paraId="11063885" w14:textId="55D0B964" w:rsidR="00F16171" w:rsidRDefault="00F16171" w:rsidP="00F75C88"/>
    <w:tbl>
      <w:tblPr>
        <w:tblStyle w:val="TableGrid"/>
        <w:tblW w:w="0" w:type="auto"/>
        <w:tblCellMar>
          <w:top w:w="115" w:type="dxa"/>
          <w:bottom w:w="115" w:type="dxa"/>
        </w:tblCellMar>
        <w:tblLook w:val="04A0" w:firstRow="1" w:lastRow="0" w:firstColumn="1" w:lastColumn="0" w:noHBand="0" w:noVBand="1"/>
      </w:tblPr>
      <w:tblGrid>
        <w:gridCol w:w="3055"/>
        <w:gridCol w:w="6220"/>
      </w:tblGrid>
      <w:tr w:rsidR="00D67D1F" w14:paraId="619C0483" w14:textId="77777777" w:rsidTr="00D50309">
        <w:tc>
          <w:tcPr>
            <w:tcW w:w="9275" w:type="dxa"/>
            <w:gridSpan w:val="2"/>
            <w:shd w:val="clear" w:color="auto" w:fill="000000" w:themeFill="text1"/>
          </w:tcPr>
          <w:p w14:paraId="5195243C" w14:textId="08F480AC" w:rsidR="00D67D1F" w:rsidRDefault="00D67D1F" w:rsidP="00F75C88">
            <w:pPr>
              <w:pStyle w:val="Heading1"/>
            </w:pPr>
            <w:r>
              <w:t>Project Milestones</w:t>
            </w:r>
          </w:p>
        </w:tc>
      </w:tr>
      <w:tr w:rsidR="00D67D1F" w:rsidRPr="00F16171" w14:paraId="30A1311A" w14:textId="77777777" w:rsidTr="00D50309">
        <w:tc>
          <w:tcPr>
            <w:tcW w:w="3055" w:type="dxa"/>
            <w:shd w:val="clear" w:color="auto" w:fill="D9D9D9" w:themeFill="background1" w:themeFillShade="D9"/>
          </w:tcPr>
          <w:p w14:paraId="3965F2F4" w14:textId="6497F4C0" w:rsidR="00D67D1F" w:rsidRPr="00F16171" w:rsidRDefault="00795905" w:rsidP="00F75C88">
            <w:pPr>
              <w:pStyle w:val="Heading2"/>
            </w:pPr>
            <w:r>
              <w:t>December 20th</w:t>
            </w:r>
          </w:p>
        </w:tc>
        <w:tc>
          <w:tcPr>
            <w:tcW w:w="6220" w:type="dxa"/>
          </w:tcPr>
          <w:p w14:paraId="17263A8F" w14:textId="121F4DBD" w:rsidR="00D67D1F" w:rsidRPr="005311F0" w:rsidRDefault="00795905" w:rsidP="00F75C88">
            <w:pPr>
              <w:rPr>
                <w:rFonts w:asciiTheme="minorHAnsi" w:hAnsiTheme="minorHAnsi" w:cstheme="minorHAnsi"/>
              </w:rPr>
            </w:pPr>
            <w:r w:rsidRPr="005311F0">
              <w:rPr>
                <w:rFonts w:asciiTheme="minorHAnsi" w:hAnsiTheme="minorHAnsi" w:cstheme="minorHAnsi"/>
              </w:rPr>
              <w:t>Kick-Off Meeting</w:t>
            </w:r>
          </w:p>
        </w:tc>
      </w:tr>
      <w:tr w:rsidR="00D67D1F" w:rsidRPr="00F16171" w14:paraId="5219AE71" w14:textId="77777777" w:rsidTr="00D50309">
        <w:tc>
          <w:tcPr>
            <w:tcW w:w="3055" w:type="dxa"/>
            <w:shd w:val="clear" w:color="auto" w:fill="D9D9D9" w:themeFill="background1" w:themeFillShade="D9"/>
          </w:tcPr>
          <w:p w14:paraId="32E59248" w14:textId="7C35B106" w:rsidR="00D67D1F" w:rsidRPr="00F16171" w:rsidRDefault="005311F0" w:rsidP="00F75C88">
            <w:pPr>
              <w:pStyle w:val="Heading2"/>
            </w:pPr>
            <w:r>
              <w:t>December 29</w:t>
            </w:r>
            <w:r w:rsidRPr="005311F0">
              <w:rPr>
                <w:vertAlign w:val="superscript"/>
              </w:rPr>
              <w:t>th</w:t>
            </w:r>
            <w:r>
              <w:t xml:space="preserve"> </w:t>
            </w:r>
          </w:p>
        </w:tc>
        <w:tc>
          <w:tcPr>
            <w:tcW w:w="6220" w:type="dxa"/>
          </w:tcPr>
          <w:p w14:paraId="2C2993D9" w14:textId="2A8170E5" w:rsidR="00D67D1F" w:rsidRPr="005311F0" w:rsidRDefault="006953E4" w:rsidP="00F75C88">
            <w:pPr>
              <w:rPr>
                <w:rFonts w:asciiTheme="minorHAnsi" w:hAnsiTheme="minorHAnsi" w:cstheme="minorHAnsi"/>
              </w:rPr>
            </w:pPr>
            <w:r w:rsidRPr="005311F0">
              <w:rPr>
                <w:rFonts w:asciiTheme="minorHAnsi" w:hAnsiTheme="minorHAnsi" w:cstheme="minorHAnsi"/>
              </w:rPr>
              <w:t xml:space="preserve">Needs Analysis &amp; </w:t>
            </w:r>
            <w:r w:rsidR="005311F0" w:rsidRPr="005311F0">
              <w:rPr>
                <w:rFonts w:asciiTheme="minorHAnsi" w:hAnsiTheme="minorHAnsi" w:cstheme="minorHAnsi"/>
              </w:rPr>
              <w:t>Objectives</w:t>
            </w:r>
          </w:p>
        </w:tc>
      </w:tr>
      <w:tr w:rsidR="00D67D1F" w:rsidRPr="00F16171" w14:paraId="1177591B" w14:textId="77777777" w:rsidTr="00D50309">
        <w:tc>
          <w:tcPr>
            <w:tcW w:w="3055" w:type="dxa"/>
            <w:shd w:val="clear" w:color="auto" w:fill="D9D9D9" w:themeFill="background1" w:themeFillShade="D9"/>
          </w:tcPr>
          <w:p w14:paraId="3E46113F" w14:textId="6F91348A" w:rsidR="00D67D1F" w:rsidRPr="00F16171" w:rsidRDefault="005311F0" w:rsidP="00F75C88">
            <w:pPr>
              <w:pStyle w:val="Heading2"/>
            </w:pPr>
            <w:r>
              <w:t>January 13</w:t>
            </w:r>
            <w:r w:rsidRPr="005311F0">
              <w:rPr>
                <w:vertAlign w:val="superscript"/>
              </w:rPr>
              <w:t>th</w:t>
            </w:r>
            <w:r>
              <w:t xml:space="preserve"> </w:t>
            </w:r>
          </w:p>
        </w:tc>
        <w:tc>
          <w:tcPr>
            <w:tcW w:w="6220" w:type="dxa"/>
          </w:tcPr>
          <w:p w14:paraId="211082D1" w14:textId="7F526DAC" w:rsidR="00D67D1F" w:rsidRPr="005311F0" w:rsidRDefault="005311F0" w:rsidP="00F75C88">
            <w:pPr>
              <w:rPr>
                <w:rFonts w:asciiTheme="minorHAnsi" w:hAnsiTheme="minorHAnsi" w:cstheme="minorHAnsi"/>
              </w:rPr>
            </w:pPr>
            <w:r w:rsidRPr="005311F0">
              <w:rPr>
                <w:rFonts w:asciiTheme="minorHAnsi" w:hAnsiTheme="minorHAnsi" w:cstheme="minorHAnsi"/>
              </w:rPr>
              <w:t>Facilitation Proposal</w:t>
            </w:r>
          </w:p>
        </w:tc>
      </w:tr>
      <w:tr w:rsidR="006953E4" w:rsidRPr="00F16171" w14:paraId="35ED5B1B" w14:textId="77777777" w:rsidTr="00D50309">
        <w:tc>
          <w:tcPr>
            <w:tcW w:w="3055" w:type="dxa"/>
            <w:shd w:val="clear" w:color="auto" w:fill="D9D9D9" w:themeFill="background1" w:themeFillShade="D9"/>
          </w:tcPr>
          <w:p w14:paraId="18D5DDE3" w14:textId="0A3429E5" w:rsidR="006953E4" w:rsidRDefault="005311F0" w:rsidP="00F75C88">
            <w:pPr>
              <w:pStyle w:val="Heading2"/>
            </w:pPr>
            <w:r>
              <w:t>January 13</w:t>
            </w:r>
            <w:r w:rsidRPr="005311F0">
              <w:rPr>
                <w:vertAlign w:val="superscript"/>
              </w:rPr>
              <w:t>th</w:t>
            </w:r>
            <w:r>
              <w:t xml:space="preserve"> </w:t>
            </w:r>
          </w:p>
        </w:tc>
        <w:tc>
          <w:tcPr>
            <w:tcW w:w="6220" w:type="dxa"/>
          </w:tcPr>
          <w:p w14:paraId="5FAE1F23" w14:textId="6BB8F13D" w:rsidR="006953E4" w:rsidRPr="005311F0" w:rsidRDefault="005311F0" w:rsidP="00F75C88">
            <w:pPr>
              <w:rPr>
                <w:rFonts w:asciiTheme="minorHAnsi" w:hAnsiTheme="minorHAnsi" w:cstheme="minorHAnsi"/>
              </w:rPr>
            </w:pPr>
            <w:r w:rsidRPr="005311F0">
              <w:rPr>
                <w:rFonts w:asciiTheme="minorHAnsi" w:hAnsiTheme="minorHAnsi" w:cstheme="minorHAnsi"/>
              </w:rPr>
              <w:t>Facilitation Outline</w:t>
            </w:r>
          </w:p>
        </w:tc>
      </w:tr>
      <w:tr w:rsidR="006953E4" w:rsidRPr="00F16171" w14:paraId="5D97143B" w14:textId="77777777" w:rsidTr="00D50309">
        <w:tc>
          <w:tcPr>
            <w:tcW w:w="3055" w:type="dxa"/>
            <w:shd w:val="clear" w:color="auto" w:fill="D9D9D9" w:themeFill="background1" w:themeFillShade="D9"/>
          </w:tcPr>
          <w:p w14:paraId="6DCCE908" w14:textId="20952AF7" w:rsidR="006953E4" w:rsidRDefault="005311F0" w:rsidP="00F75C88">
            <w:pPr>
              <w:pStyle w:val="Heading2"/>
            </w:pPr>
            <w:r>
              <w:t>January 19</w:t>
            </w:r>
            <w:r w:rsidRPr="005311F0">
              <w:rPr>
                <w:vertAlign w:val="superscript"/>
              </w:rPr>
              <w:t>th</w:t>
            </w:r>
            <w:r>
              <w:t xml:space="preserve"> </w:t>
            </w:r>
          </w:p>
        </w:tc>
        <w:tc>
          <w:tcPr>
            <w:tcW w:w="6220" w:type="dxa"/>
          </w:tcPr>
          <w:p w14:paraId="6914CA05" w14:textId="2E038539" w:rsidR="006953E4" w:rsidRPr="005311F0" w:rsidRDefault="005311F0" w:rsidP="00F75C88">
            <w:pPr>
              <w:rPr>
                <w:rFonts w:asciiTheme="minorHAnsi" w:hAnsiTheme="minorHAnsi" w:cstheme="minorHAnsi"/>
              </w:rPr>
            </w:pPr>
            <w:r w:rsidRPr="005311F0">
              <w:rPr>
                <w:rFonts w:asciiTheme="minorHAnsi" w:hAnsiTheme="minorHAnsi" w:cstheme="minorHAnsi"/>
              </w:rPr>
              <w:t>Zoom Practice for Settings</w:t>
            </w:r>
          </w:p>
        </w:tc>
      </w:tr>
      <w:tr w:rsidR="006953E4" w:rsidRPr="00F16171" w14:paraId="23FA2864" w14:textId="77777777" w:rsidTr="00D50309">
        <w:tc>
          <w:tcPr>
            <w:tcW w:w="3055" w:type="dxa"/>
            <w:shd w:val="clear" w:color="auto" w:fill="D9D9D9" w:themeFill="background1" w:themeFillShade="D9"/>
          </w:tcPr>
          <w:p w14:paraId="07F0034A" w14:textId="09D69485" w:rsidR="006953E4" w:rsidRDefault="005311F0" w:rsidP="00F75C88">
            <w:pPr>
              <w:pStyle w:val="Heading2"/>
            </w:pPr>
            <w:r>
              <w:t>January 30</w:t>
            </w:r>
            <w:r w:rsidRPr="005311F0">
              <w:rPr>
                <w:vertAlign w:val="superscript"/>
              </w:rPr>
              <w:t>th</w:t>
            </w:r>
          </w:p>
        </w:tc>
        <w:tc>
          <w:tcPr>
            <w:tcW w:w="6220" w:type="dxa"/>
          </w:tcPr>
          <w:p w14:paraId="1DBAD7EC" w14:textId="36E2D159" w:rsidR="006953E4" w:rsidRPr="005311F0" w:rsidRDefault="005311F0" w:rsidP="00F75C88">
            <w:pPr>
              <w:rPr>
                <w:rFonts w:asciiTheme="minorHAnsi" w:hAnsiTheme="minorHAnsi" w:cstheme="minorHAnsi"/>
              </w:rPr>
            </w:pPr>
            <w:r w:rsidRPr="005311F0">
              <w:rPr>
                <w:rFonts w:asciiTheme="minorHAnsi" w:hAnsiTheme="minorHAnsi" w:cstheme="minorHAnsi"/>
              </w:rPr>
              <w:t>Facilitation Slide Deck</w:t>
            </w:r>
          </w:p>
        </w:tc>
      </w:tr>
      <w:tr w:rsidR="006953E4" w:rsidRPr="00F16171" w14:paraId="4CE84E50" w14:textId="77777777" w:rsidTr="00D50309">
        <w:tc>
          <w:tcPr>
            <w:tcW w:w="3055" w:type="dxa"/>
            <w:shd w:val="clear" w:color="auto" w:fill="D9D9D9" w:themeFill="background1" w:themeFillShade="D9"/>
          </w:tcPr>
          <w:p w14:paraId="4EEC4BE2" w14:textId="20561B98" w:rsidR="006953E4" w:rsidRDefault="005311F0" w:rsidP="00F75C88">
            <w:pPr>
              <w:pStyle w:val="Heading2"/>
            </w:pPr>
            <w:r>
              <w:t>February 6</w:t>
            </w:r>
            <w:r w:rsidRPr="005311F0">
              <w:rPr>
                <w:vertAlign w:val="superscript"/>
              </w:rPr>
              <w:t>th</w:t>
            </w:r>
          </w:p>
        </w:tc>
        <w:tc>
          <w:tcPr>
            <w:tcW w:w="6220" w:type="dxa"/>
          </w:tcPr>
          <w:p w14:paraId="5A2808D9" w14:textId="3881F5B3" w:rsidR="006953E4" w:rsidRPr="005311F0" w:rsidRDefault="005311F0" w:rsidP="00F75C88">
            <w:pPr>
              <w:rPr>
                <w:rFonts w:asciiTheme="minorHAnsi" w:hAnsiTheme="minorHAnsi" w:cstheme="minorHAnsi"/>
              </w:rPr>
            </w:pPr>
            <w:r w:rsidRPr="005311F0">
              <w:rPr>
                <w:rFonts w:asciiTheme="minorHAnsi" w:hAnsiTheme="minorHAnsi" w:cstheme="minorHAnsi"/>
              </w:rPr>
              <w:t>Word Accessibility Checklist</w:t>
            </w:r>
          </w:p>
        </w:tc>
      </w:tr>
      <w:tr w:rsidR="006F0C23" w:rsidRPr="00F16171" w14:paraId="21E1CB70" w14:textId="77777777" w:rsidTr="005311F0">
        <w:trPr>
          <w:trHeight w:val="20"/>
        </w:trPr>
        <w:tc>
          <w:tcPr>
            <w:tcW w:w="3055" w:type="dxa"/>
            <w:shd w:val="clear" w:color="auto" w:fill="D9D9D9" w:themeFill="background1" w:themeFillShade="D9"/>
          </w:tcPr>
          <w:p w14:paraId="4CBA75A0" w14:textId="6071F1E1" w:rsidR="006F0C23" w:rsidRDefault="005311F0" w:rsidP="00F75C88">
            <w:pPr>
              <w:pStyle w:val="Heading2"/>
            </w:pPr>
            <w:r>
              <w:t>February 12</w:t>
            </w:r>
            <w:r w:rsidRPr="005311F0">
              <w:rPr>
                <w:vertAlign w:val="superscript"/>
              </w:rPr>
              <w:t>th</w:t>
            </w:r>
            <w:r>
              <w:t xml:space="preserve"> </w:t>
            </w:r>
          </w:p>
        </w:tc>
        <w:tc>
          <w:tcPr>
            <w:tcW w:w="6220" w:type="dxa"/>
          </w:tcPr>
          <w:p w14:paraId="283F5D0F" w14:textId="3ED3FFE4" w:rsidR="006F0C23" w:rsidRPr="005311F0" w:rsidRDefault="005311F0" w:rsidP="00F75C88">
            <w:pPr>
              <w:rPr>
                <w:rFonts w:asciiTheme="minorHAnsi" w:hAnsiTheme="minorHAnsi" w:cstheme="minorHAnsi"/>
              </w:rPr>
            </w:pPr>
            <w:r w:rsidRPr="005311F0">
              <w:rPr>
                <w:rFonts w:asciiTheme="minorHAnsi" w:hAnsiTheme="minorHAnsi" w:cstheme="minorHAnsi"/>
              </w:rPr>
              <w:t>Video Tutorials with Transcripts</w:t>
            </w:r>
          </w:p>
        </w:tc>
      </w:tr>
    </w:tbl>
    <w:p w14:paraId="44A272C3" w14:textId="77777777" w:rsidR="00D67D1F" w:rsidRDefault="00D67D1F" w:rsidP="00F75C88"/>
    <w:p w14:paraId="02E4F252" w14:textId="77777777" w:rsidR="00CA4BF6" w:rsidRDefault="00CA4BF6" w:rsidP="00F75C88"/>
    <w:p w14:paraId="01C91D08" w14:textId="77777777" w:rsidR="00CA4BF6" w:rsidRDefault="00CA4BF6" w:rsidP="00F75C88"/>
    <w:p w14:paraId="013B6FB2" w14:textId="77777777" w:rsidR="00CA4BF6" w:rsidRDefault="00CA4BF6" w:rsidP="00F75C88"/>
    <w:p w14:paraId="7C5105D3" w14:textId="77777777" w:rsidR="00CA4BF6" w:rsidRDefault="00CA4BF6" w:rsidP="00F75C88"/>
    <w:p w14:paraId="3DC69D1B" w14:textId="77777777" w:rsidR="00CA4BF6" w:rsidRDefault="00CA4BF6" w:rsidP="00F75C88"/>
    <w:p w14:paraId="34A8EFF0" w14:textId="77777777" w:rsidR="00CA4BF6" w:rsidRDefault="00CA4BF6" w:rsidP="00F75C88"/>
    <w:p w14:paraId="1DF1C631" w14:textId="77777777" w:rsidR="00CA4BF6" w:rsidRDefault="00CA4BF6" w:rsidP="00F75C88"/>
    <w:p w14:paraId="27010A99" w14:textId="77777777" w:rsidR="00CA4BF6" w:rsidRDefault="00CA4BF6" w:rsidP="00F75C88"/>
    <w:p w14:paraId="1BA641C9" w14:textId="77777777" w:rsidR="00CA4BF6" w:rsidRDefault="00CA4BF6" w:rsidP="00F75C88"/>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2CBF04FC" w14:textId="77777777" w:rsidTr="00F16171">
        <w:tc>
          <w:tcPr>
            <w:tcW w:w="9275" w:type="dxa"/>
            <w:gridSpan w:val="2"/>
            <w:shd w:val="clear" w:color="auto" w:fill="000000" w:themeFill="text1"/>
          </w:tcPr>
          <w:p w14:paraId="1733793E" w14:textId="04379D11" w:rsidR="00F16171" w:rsidRDefault="00F16171" w:rsidP="00F75C88">
            <w:pPr>
              <w:pStyle w:val="Heading1"/>
            </w:pPr>
            <w:r>
              <w:lastRenderedPageBreak/>
              <w:t>Implementation &amp; Measurement</w:t>
            </w:r>
          </w:p>
        </w:tc>
      </w:tr>
      <w:tr w:rsidR="00F16171" w14:paraId="444B2B44" w14:textId="77777777" w:rsidTr="00F16171">
        <w:tc>
          <w:tcPr>
            <w:tcW w:w="3055" w:type="dxa"/>
            <w:shd w:val="clear" w:color="auto" w:fill="D9D9D9" w:themeFill="background1" w:themeFillShade="D9"/>
          </w:tcPr>
          <w:p w14:paraId="372EF9A2" w14:textId="7B85F155" w:rsidR="00F16171" w:rsidRPr="00F16171" w:rsidRDefault="00323FD5" w:rsidP="00F75C88">
            <w:pPr>
              <w:pStyle w:val="Heading2"/>
            </w:pPr>
            <w:r>
              <w:t>Implementation Plan</w:t>
            </w:r>
          </w:p>
        </w:tc>
        <w:tc>
          <w:tcPr>
            <w:tcW w:w="6220" w:type="dxa"/>
          </w:tcPr>
          <w:p w14:paraId="3EE5D9C8" w14:textId="685DFC28" w:rsidR="005311F0" w:rsidRPr="005311F0" w:rsidRDefault="005311F0" w:rsidP="005311F0">
            <w:pPr>
              <w:pStyle w:val="NormalWeb"/>
              <w:rPr>
                <w:rFonts w:asciiTheme="minorHAnsi" w:hAnsiTheme="minorHAnsi" w:cstheme="minorHAnsi"/>
                <w:sz w:val="22"/>
                <w:szCs w:val="22"/>
              </w:rPr>
            </w:pPr>
            <w:r w:rsidRPr="005311F0">
              <w:rPr>
                <w:rFonts w:asciiTheme="minorHAnsi" w:hAnsiTheme="minorHAnsi" w:cstheme="minorHAnsi"/>
                <w:sz w:val="22"/>
                <w:szCs w:val="22"/>
              </w:rPr>
              <w:t>The learning solution will be delivered using a blended approach to support flexibility and immediate application. Faculty will register for a 90-minute virtual workshop facilitated via Zoom. The session</w:t>
            </w:r>
            <w:r>
              <w:rPr>
                <w:rFonts w:asciiTheme="minorHAnsi" w:hAnsiTheme="minorHAnsi" w:cstheme="minorHAnsi"/>
                <w:sz w:val="22"/>
                <w:szCs w:val="22"/>
              </w:rPr>
              <w:t>, on February 13</w:t>
            </w:r>
            <w:r w:rsidRPr="005311F0">
              <w:rPr>
                <w:rFonts w:asciiTheme="minorHAnsi" w:hAnsiTheme="minorHAnsi" w:cstheme="minorHAnsi"/>
                <w:sz w:val="22"/>
                <w:szCs w:val="22"/>
                <w:vertAlign w:val="superscript"/>
              </w:rPr>
              <w:t>th</w:t>
            </w:r>
            <w:r>
              <w:rPr>
                <w:rFonts w:asciiTheme="minorHAnsi" w:hAnsiTheme="minorHAnsi" w:cstheme="minorHAnsi"/>
                <w:sz w:val="22"/>
                <w:szCs w:val="22"/>
              </w:rPr>
              <w:t>,</w:t>
            </w:r>
            <w:r w:rsidRPr="005311F0">
              <w:rPr>
                <w:rFonts w:asciiTheme="minorHAnsi" w:hAnsiTheme="minorHAnsi" w:cstheme="minorHAnsi"/>
                <w:sz w:val="22"/>
                <w:szCs w:val="22"/>
              </w:rPr>
              <w:t xml:space="preserve"> will combine short instructional segments, live demonstrations in Microsoft Word, and guided practice using participants’ own documents or a provided remediation file.</w:t>
            </w:r>
          </w:p>
          <w:p w14:paraId="202B9DA3" w14:textId="0F81EF0A" w:rsidR="00F16171" w:rsidRPr="005311F0" w:rsidRDefault="005311F0" w:rsidP="005311F0">
            <w:pPr>
              <w:pStyle w:val="NormalWeb"/>
              <w:rPr>
                <w:rFonts w:asciiTheme="minorHAnsi" w:hAnsiTheme="minorHAnsi" w:cstheme="minorHAnsi"/>
                <w:sz w:val="22"/>
                <w:szCs w:val="22"/>
              </w:rPr>
            </w:pPr>
            <w:r w:rsidRPr="005311F0">
              <w:rPr>
                <w:rFonts w:asciiTheme="minorHAnsi" w:hAnsiTheme="minorHAnsi" w:cstheme="minorHAnsi"/>
                <w:sz w:val="22"/>
                <w:szCs w:val="22"/>
              </w:rPr>
              <w:t xml:space="preserve">Following the live session, participants will have </w:t>
            </w:r>
            <w:r>
              <w:rPr>
                <w:rFonts w:asciiTheme="minorHAnsi" w:hAnsiTheme="minorHAnsi" w:cstheme="minorHAnsi"/>
                <w:sz w:val="22"/>
                <w:szCs w:val="22"/>
              </w:rPr>
              <w:t xml:space="preserve">immediate and </w:t>
            </w:r>
            <w:r w:rsidRPr="005311F0">
              <w:rPr>
                <w:rFonts w:asciiTheme="minorHAnsi" w:hAnsiTheme="minorHAnsi" w:cstheme="minorHAnsi"/>
                <w:sz w:val="22"/>
                <w:szCs w:val="22"/>
              </w:rPr>
              <w:t xml:space="preserve">ongoing access to short, topic-based training videos and reference materials housed in the Center for Faculty Excellence’s Just </w:t>
            </w:r>
            <w:proofErr w:type="gramStart"/>
            <w:r w:rsidRPr="005311F0">
              <w:rPr>
                <w:rFonts w:asciiTheme="minorHAnsi" w:hAnsiTheme="minorHAnsi" w:cstheme="minorHAnsi"/>
                <w:sz w:val="22"/>
                <w:szCs w:val="22"/>
              </w:rPr>
              <w:t>In</w:t>
            </w:r>
            <w:proofErr w:type="gramEnd"/>
            <w:r w:rsidRPr="005311F0">
              <w:rPr>
                <w:rFonts w:asciiTheme="minorHAnsi" w:hAnsiTheme="minorHAnsi" w:cstheme="minorHAnsi"/>
                <w:sz w:val="22"/>
                <w:szCs w:val="22"/>
              </w:rPr>
              <w:t xml:space="preserve"> Time resource library. These resources are designed to support continued learning and just-in-time use as faculty create or remediate documents.</w:t>
            </w:r>
          </w:p>
        </w:tc>
      </w:tr>
      <w:tr w:rsidR="00F16171" w14:paraId="525CE851" w14:textId="77777777" w:rsidTr="00F16171">
        <w:tc>
          <w:tcPr>
            <w:tcW w:w="3055" w:type="dxa"/>
            <w:shd w:val="clear" w:color="auto" w:fill="D9D9D9" w:themeFill="background1" w:themeFillShade="D9"/>
          </w:tcPr>
          <w:p w14:paraId="12C79A43" w14:textId="5CCA547F" w:rsidR="00F16171" w:rsidRPr="00F16171" w:rsidRDefault="00323FD5" w:rsidP="00F75C88">
            <w:pPr>
              <w:pStyle w:val="Heading2"/>
            </w:pPr>
            <w:r>
              <w:t>Evaluation Plan</w:t>
            </w:r>
          </w:p>
        </w:tc>
        <w:tc>
          <w:tcPr>
            <w:tcW w:w="6220" w:type="dxa"/>
          </w:tcPr>
          <w:p w14:paraId="65BB6138" w14:textId="77777777" w:rsidR="005311F0" w:rsidRPr="005311F0" w:rsidRDefault="005311F0" w:rsidP="005311F0">
            <w:pPr>
              <w:pStyle w:val="NormalWeb"/>
              <w:rPr>
                <w:rFonts w:ascii="Calibri" w:hAnsi="Calibri" w:cs="Calibri"/>
                <w:sz w:val="22"/>
                <w:szCs w:val="22"/>
              </w:rPr>
            </w:pPr>
            <w:r w:rsidRPr="005311F0">
              <w:rPr>
                <w:rFonts w:ascii="Calibri" w:hAnsi="Calibri" w:cs="Calibri"/>
                <w:sz w:val="22"/>
                <w:szCs w:val="22"/>
              </w:rPr>
              <w:t>Evaluation will be used to assess learner understanding, guide improvements to the learning experience, and support long-term accessibility adoption. Participant reflections collected at the end of the live workshop will capture immediate confidence and remaining questions. Post-session feedback will be gathered through the Center for Faculty Excellence’s standard reflection form and reviewed to identify trends related to clarity, relevance, and usefulness.</w:t>
            </w:r>
          </w:p>
          <w:p w14:paraId="0E75A58E" w14:textId="00CA52F9" w:rsidR="00323FD5" w:rsidRPr="005311F0" w:rsidRDefault="005311F0" w:rsidP="005311F0">
            <w:pPr>
              <w:pStyle w:val="NormalWeb"/>
              <w:rPr>
                <w:rFonts w:ascii="Calibri" w:hAnsi="Calibri" w:cs="Calibri"/>
                <w:sz w:val="22"/>
                <w:szCs w:val="22"/>
              </w:rPr>
            </w:pPr>
            <w:r w:rsidRPr="005311F0">
              <w:rPr>
                <w:rFonts w:ascii="Calibri" w:hAnsi="Calibri" w:cs="Calibri"/>
                <w:sz w:val="22"/>
                <w:szCs w:val="22"/>
              </w:rPr>
              <w:t xml:space="preserve">As faculty apply the practices introduced in the training, remediated and newly created documents will be reviewed against WCAG 2.1 success criteria for the topics covered. Continued use of the Just </w:t>
            </w:r>
            <w:proofErr w:type="gramStart"/>
            <w:r w:rsidRPr="005311F0">
              <w:rPr>
                <w:rFonts w:ascii="Calibri" w:hAnsi="Calibri" w:cs="Calibri"/>
                <w:sz w:val="22"/>
                <w:szCs w:val="22"/>
              </w:rPr>
              <w:t>In</w:t>
            </w:r>
            <w:proofErr w:type="gramEnd"/>
            <w:r w:rsidRPr="005311F0">
              <w:rPr>
                <w:rFonts w:ascii="Calibri" w:hAnsi="Calibri" w:cs="Calibri"/>
                <w:sz w:val="22"/>
                <w:szCs w:val="22"/>
              </w:rPr>
              <w:t xml:space="preserve"> Time resources will inform future refinements and identify areas where additional guidance or training may be needed.</w:t>
            </w:r>
          </w:p>
        </w:tc>
      </w:tr>
      <w:tr w:rsidR="00F16171" w14:paraId="36B2ADC6" w14:textId="77777777" w:rsidTr="00F16171">
        <w:tc>
          <w:tcPr>
            <w:tcW w:w="3055" w:type="dxa"/>
            <w:shd w:val="clear" w:color="auto" w:fill="D9D9D9" w:themeFill="background1" w:themeFillShade="D9"/>
          </w:tcPr>
          <w:p w14:paraId="514939F3" w14:textId="7FAD9165" w:rsidR="00F16171" w:rsidRPr="00F16171" w:rsidRDefault="00323FD5" w:rsidP="00F75C88">
            <w:pPr>
              <w:pStyle w:val="Heading2"/>
            </w:pPr>
            <w:r>
              <w:t>Constraints &amp; Risks</w:t>
            </w:r>
          </w:p>
        </w:tc>
        <w:tc>
          <w:tcPr>
            <w:tcW w:w="6220" w:type="dxa"/>
          </w:tcPr>
          <w:p w14:paraId="79415479" w14:textId="553C6F2A" w:rsidR="006F0C23" w:rsidRPr="005311F0" w:rsidRDefault="005311F0" w:rsidP="005311F0">
            <w:pPr>
              <w:pStyle w:val="ListParagraph"/>
              <w:numPr>
                <w:ilvl w:val="0"/>
                <w:numId w:val="11"/>
              </w:numPr>
            </w:pPr>
            <w:r>
              <w:rPr>
                <w:rFonts w:asciiTheme="minorHAnsi" w:hAnsiTheme="minorHAnsi" w:cstheme="minorHAnsi"/>
              </w:rPr>
              <w:t>Faculty availability.</w:t>
            </w:r>
          </w:p>
          <w:p w14:paraId="3523B8FE" w14:textId="0A816FEF" w:rsidR="005311F0" w:rsidRDefault="005311F0" w:rsidP="005311F0">
            <w:pPr>
              <w:pStyle w:val="ListParagraph"/>
              <w:numPr>
                <w:ilvl w:val="0"/>
                <w:numId w:val="11"/>
              </w:numPr>
              <w:rPr>
                <w:rFonts w:asciiTheme="minorHAnsi" w:hAnsiTheme="minorHAnsi" w:cstheme="minorHAnsi"/>
              </w:rPr>
            </w:pPr>
            <w:r w:rsidRPr="005311F0">
              <w:rPr>
                <w:rFonts w:asciiTheme="minorHAnsi" w:hAnsiTheme="minorHAnsi" w:cstheme="minorHAnsi"/>
              </w:rPr>
              <w:t>Use of existing systems and established CFE platforms</w:t>
            </w:r>
            <w:r>
              <w:rPr>
                <w:rFonts w:asciiTheme="minorHAnsi" w:hAnsiTheme="minorHAnsi" w:cstheme="minorHAnsi"/>
              </w:rPr>
              <w:t>.</w:t>
            </w:r>
          </w:p>
          <w:p w14:paraId="4ED2376B" w14:textId="77777777" w:rsidR="005311F0" w:rsidRDefault="005311F0" w:rsidP="005311F0">
            <w:pPr>
              <w:pStyle w:val="ListParagraph"/>
              <w:numPr>
                <w:ilvl w:val="0"/>
                <w:numId w:val="11"/>
              </w:numPr>
              <w:rPr>
                <w:rFonts w:asciiTheme="minorHAnsi" w:hAnsiTheme="minorHAnsi" w:cstheme="minorHAnsi"/>
              </w:rPr>
            </w:pPr>
            <w:r>
              <w:rPr>
                <w:rFonts w:asciiTheme="minorHAnsi" w:hAnsiTheme="minorHAnsi" w:cstheme="minorHAnsi"/>
              </w:rPr>
              <w:t>Voluntary participation may result in uneven adoption.</w:t>
            </w:r>
          </w:p>
          <w:p w14:paraId="4580B7A3" w14:textId="77777777" w:rsidR="005311F0" w:rsidRDefault="005311F0" w:rsidP="005311F0">
            <w:pPr>
              <w:pStyle w:val="ListParagraph"/>
              <w:numPr>
                <w:ilvl w:val="0"/>
                <w:numId w:val="11"/>
              </w:numPr>
              <w:rPr>
                <w:rFonts w:asciiTheme="minorHAnsi" w:hAnsiTheme="minorHAnsi" w:cstheme="minorHAnsi"/>
              </w:rPr>
            </w:pPr>
            <w:r>
              <w:rPr>
                <w:rFonts w:asciiTheme="minorHAnsi" w:hAnsiTheme="minorHAnsi" w:cstheme="minorHAnsi"/>
              </w:rPr>
              <w:t>Participant skill levels will vary, affecting pacing during live facilitation.</w:t>
            </w:r>
          </w:p>
          <w:p w14:paraId="014106E8" w14:textId="0D9ABA05" w:rsidR="005311F0" w:rsidRPr="005311F0" w:rsidRDefault="005311F0" w:rsidP="005311F0">
            <w:pPr>
              <w:pStyle w:val="ListParagraph"/>
              <w:numPr>
                <w:ilvl w:val="0"/>
                <w:numId w:val="11"/>
              </w:numPr>
              <w:rPr>
                <w:rFonts w:asciiTheme="minorHAnsi" w:hAnsiTheme="minorHAnsi" w:cstheme="minorHAnsi"/>
              </w:rPr>
            </w:pPr>
            <w:r>
              <w:rPr>
                <w:rFonts w:asciiTheme="minorHAnsi" w:hAnsiTheme="minorHAnsi" w:cstheme="minorHAnsi"/>
              </w:rPr>
              <w:t>Accessibility needs extend beyond the topics covered in this training.</w:t>
            </w:r>
          </w:p>
        </w:tc>
      </w:tr>
    </w:tbl>
    <w:p w14:paraId="4365106A" w14:textId="77777777" w:rsidR="00F16171" w:rsidRDefault="00F16171" w:rsidP="00F75C88"/>
    <w:p w14:paraId="1FAB219C" w14:textId="77777777" w:rsidR="00F16171" w:rsidRPr="00586973" w:rsidRDefault="00F16171" w:rsidP="00F75C88"/>
    <w:sectPr w:rsidR="00F16171" w:rsidRPr="00586973" w:rsidSect="00F16171">
      <w:headerReference w:type="default" r:id="rId7"/>
      <w:footerReference w:type="default" r:id="rId8"/>
      <w:pgSz w:w="12240" w:h="15840"/>
      <w:pgMar w:top="1440" w:right="151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9B89" w14:textId="77777777" w:rsidR="000F040C" w:rsidRDefault="000F040C" w:rsidP="00F75C88">
      <w:r>
        <w:separator/>
      </w:r>
    </w:p>
  </w:endnote>
  <w:endnote w:type="continuationSeparator" w:id="0">
    <w:p w14:paraId="5234AC0F" w14:textId="77777777" w:rsidR="000F040C" w:rsidRDefault="000F040C" w:rsidP="00F7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3D85" w14:textId="3048B88E" w:rsidR="00A23F5D" w:rsidRDefault="00A23F5D" w:rsidP="00F75C88">
    <w:pPr>
      <w:pStyle w:val="Footer"/>
    </w:pPr>
    <w:r>
      <w:t>The eLearning Designer’s Academy by Tim Slade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DEF2" w14:textId="77777777" w:rsidR="000F040C" w:rsidRDefault="000F040C" w:rsidP="00F75C88">
      <w:r>
        <w:separator/>
      </w:r>
    </w:p>
  </w:footnote>
  <w:footnote w:type="continuationSeparator" w:id="0">
    <w:p w14:paraId="5EA66734" w14:textId="77777777" w:rsidR="000F040C" w:rsidRDefault="000F040C" w:rsidP="00F7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0DBB" w14:textId="4B51A63D" w:rsidR="00F8317B" w:rsidRDefault="008921E6" w:rsidP="00F75C88">
    <w:pPr>
      <w:pStyle w:val="Header"/>
    </w:pPr>
    <w:r>
      <w:t>Design Document</w:t>
    </w:r>
  </w:p>
  <w:p w14:paraId="35123255" w14:textId="1FAB6EF2" w:rsidR="0010146F" w:rsidRPr="0010146F" w:rsidRDefault="007218E6" w:rsidP="00F75C88">
    <w:pPr>
      <w:pStyle w:val="Header"/>
    </w:pPr>
    <w:r>
      <w:t>BGSU Accessibility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2D2"/>
    <w:multiLevelType w:val="hybridMultilevel"/>
    <w:tmpl w:val="52785558"/>
    <w:lvl w:ilvl="0" w:tplc="5FB06350">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7C4"/>
    <w:multiLevelType w:val="hybridMultilevel"/>
    <w:tmpl w:val="3A1A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5757"/>
    <w:multiLevelType w:val="hybridMultilevel"/>
    <w:tmpl w:val="C8645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532E36"/>
    <w:multiLevelType w:val="hybridMultilevel"/>
    <w:tmpl w:val="FF9C8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AE6771"/>
    <w:multiLevelType w:val="hybridMultilevel"/>
    <w:tmpl w:val="6A24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2656D"/>
    <w:multiLevelType w:val="hybridMultilevel"/>
    <w:tmpl w:val="89D0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4A0DDE"/>
    <w:multiLevelType w:val="hybridMultilevel"/>
    <w:tmpl w:val="1E7A7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064F45"/>
    <w:multiLevelType w:val="hybridMultilevel"/>
    <w:tmpl w:val="AE72E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242DA0"/>
    <w:multiLevelType w:val="hybridMultilevel"/>
    <w:tmpl w:val="03A2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9616D2"/>
    <w:multiLevelType w:val="hybridMultilevel"/>
    <w:tmpl w:val="3E06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3729B"/>
    <w:multiLevelType w:val="hybridMultilevel"/>
    <w:tmpl w:val="C4B0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192957">
    <w:abstractNumId w:val="6"/>
  </w:num>
  <w:num w:numId="2" w16cid:durableId="114445797">
    <w:abstractNumId w:val="2"/>
  </w:num>
  <w:num w:numId="3" w16cid:durableId="276376236">
    <w:abstractNumId w:val="7"/>
  </w:num>
  <w:num w:numId="4" w16cid:durableId="1394544908">
    <w:abstractNumId w:val="5"/>
  </w:num>
  <w:num w:numId="5" w16cid:durableId="1187213265">
    <w:abstractNumId w:val="3"/>
  </w:num>
  <w:num w:numId="6" w16cid:durableId="1127119279">
    <w:abstractNumId w:val="8"/>
  </w:num>
  <w:num w:numId="7" w16cid:durableId="1174800218">
    <w:abstractNumId w:val="4"/>
  </w:num>
  <w:num w:numId="8" w16cid:durableId="864245272">
    <w:abstractNumId w:val="0"/>
  </w:num>
  <w:num w:numId="9" w16cid:durableId="637107618">
    <w:abstractNumId w:val="1"/>
  </w:num>
  <w:num w:numId="10" w16cid:durableId="1817450553">
    <w:abstractNumId w:val="9"/>
  </w:num>
  <w:num w:numId="11" w16cid:durableId="1113135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73"/>
    <w:rsid w:val="000F040C"/>
    <w:rsid w:val="0010146F"/>
    <w:rsid w:val="001A2028"/>
    <w:rsid w:val="00213B3F"/>
    <w:rsid w:val="00256012"/>
    <w:rsid w:val="002A6F21"/>
    <w:rsid w:val="002D4F94"/>
    <w:rsid w:val="00323FD5"/>
    <w:rsid w:val="003D31E2"/>
    <w:rsid w:val="003D75D8"/>
    <w:rsid w:val="004A3D9F"/>
    <w:rsid w:val="004F614F"/>
    <w:rsid w:val="005311F0"/>
    <w:rsid w:val="00553A85"/>
    <w:rsid w:val="00586973"/>
    <w:rsid w:val="005A319E"/>
    <w:rsid w:val="00605456"/>
    <w:rsid w:val="00636553"/>
    <w:rsid w:val="00654DB7"/>
    <w:rsid w:val="006953E4"/>
    <w:rsid w:val="006E3BD3"/>
    <w:rsid w:val="006F0C23"/>
    <w:rsid w:val="007218E6"/>
    <w:rsid w:val="00732B3E"/>
    <w:rsid w:val="00795905"/>
    <w:rsid w:val="007E1683"/>
    <w:rsid w:val="00826C4B"/>
    <w:rsid w:val="008921E6"/>
    <w:rsid w:val="009C741A"/>
    <w:rsid w:val="00A23F5D"/>
    <w:rsid w:val="00AE4E67"/>
    <w:rsid w:val="00B05E00"/>
    <w:rsid w:val="00B40FBE"/>
    <w:rsid w:val="00B91DB4"/>
    <w:rsid w:val="00C6345C"/>
    <w:rsid w:val="00C72639"/>
    <w:rsid w:val="00CA4BF6"/>
    <w:rsid w:val="00D21A3C"/>
    <w:rsid w:val="00D67D1F"/>
    <w:rsid w:val="00DA64DB"/>
    <w:rsid w:val="00DB5C0C"/>
    <w:rsid w:val="00DF3392"/>
    <w:rsid w:val="00E35E37"/>
    <w:rsid w:val="00E5605E"/>
    <w:rsid w:val="00F16171"/>
    <w:rsid w:val="00F37AC6"/>
    <w:rsid w:val="00F75C88"/>
    <w:rsid w:val="00F8317B"/>
    <w:rsid w:val="00FA24A9"/>
    <w:rsid w:val="00F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3048"/>
  <w15:chartTrackingRefBased/>
  <w15:docId w15:val="{7E97D50A-9D58-4062-B98C-33722C10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88"/>
    <w:pPr>
      <w:spacing w:after="0" w:line="240" w:lineRule="auto"/>
    </w:pPr>
    <w:rPr>
      <w:rFonts w:ascii="Open Sans" w:hAnsi="Open Sans" w:cs="Open Sans"/>
    </w:rPr>
  </w:style>
  <w:style w:type="paragraph" w:styleId="Heading1">
    <w:name w:val="heading 1"/>
    <w:basedOn w:val="Normal"/>
    <w:next w:val="Normal"/>
    <w:link w:val="Heading1Char"/>
    <w:uiPriority w:val="9"/>
    <w:qFormat/>
    <w:rsid w:val="00F75C88"/>
    <w:pPr>
      <w:outlineLvl w:val="0"/>
    </w:pPr>
    <w:rPr>
      <w:b/>
      <w:bCs/>
      <w:color w:val="FFFFFF" w:themeColor="background1"/>
      <w:sz w:val="28"/>
      <w:szCs w:val="28"/>
    </w:rPr>
  </w:style>
  <w:style w:type="paragraph" w:styleId="Heading2">
    <w:name w:val="heading 2"/>
    <w:basedOn w:val="Normal"/>
    <w:next w:val="Normal"/>
    <w:link w:val="Heading2Char"/>
    <w:uiPriority w:val="9"/>
    <w:unhideWhenUsed/>
    <w:qFormat/>
    <w:rsid w:val="00F75C88"/>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6345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C634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D75D8"/>
    <w:pPr>
      <w:ind w:left="720"/>
      <w:contextualSpacing/>
    </w:pPr>
  </w:style>
  <w:style w:type="paragraph" w:styleId="Header">
    <w:name w:val="header"/>
    <w:basedOn w:val="Normal"/>
    <w:link w:val="HeaderChar"/>
    <w:uiPriority w:val="99"/>
    <w:unhideWhenUsed/>
    <w:rsid w:val="00F8317B"/>
    <w:pPr>
      <w:tabs>
        <w:tab w:val="center" w:pos="4680"/>
        <w:tab w:val="right" w:pos="9360"/>
      </w:tabs>
    </w:pPr>
  </w:style>
  <w:style w:type="character" w:customStyle="1" w:styleId="HeaderChar">
    <w:name w:val="Header Char"/>
    <w:basedOn w:val="DefaultParagraphFont"/>
    <w:link w:val="Header"/>
    <w:uiPriority w:val="99"/>
    <w:rsid w:val="00F8317B"/>
  </w:style>
  <w:style w:type="paragraph" w:styleId="Footer">
    <w:name w:val="footer"/>
    <w:basedOn w:val="Normal"/>
    <w:link w:val="FooterChar"/>
    <w:uiPriority w:val="99"/>
    <w:unhideWhenUsed/>
    <w:rsid w:val="00F8317B"/>
    <w:pPr>
      <w:tabs>
        <w:tab w:val="center" w:pos="4680"/>
        <w:tab w:val="right" w:pos="9360"/>
      </w:tabs>
    </w:pPr>
  </w:style>
  <w:style w:type="character" w:customStyle="1" w:styleId="FooterChar">
    <w:name w:val="Footer Char"/>
    <w:basedOn w:val="DefaultParagraphFont"/>
    <w:link w:val="Footer"/>
    <w:uiPriority w:val="99"/>
    <w:rsid w:val="00F8317B"/>
  </w:style>
  <w:style w:type="character" w:customStyle="1" w:styleId="Heading1Char">
    <w:name w:val="Heading 1 Char"/>
    <w:basedOn w:val="DefaultParagraphFont"/>
    <w:link w:val="Heading1"/>
    <w:uiPriority w:val="9"/>
    <w:rsid w:val="00F75C88"/>
    <w:rPr>
      <w:rFonts w:ascii="Open Sans" w:hAnsi="Open Sans" w:cs="Open Sans"/>
      <w:b/>
      <w:bCs/>
      <w:color w:val="FFFFFF" w:themeColor="background1"/>
      <w:sz w:val="28"/>
      <w:szCs w:val="28"/>
    </w:rPr>
  </w:style>
  <w:style w:type="character" w:customStyle="1" w:styleId="Heading2Char">
    <w:name w:val="Heading 2 Char"/>
    <w:basedOn w:val="DefaultParagraphFont"/>
    <w:link w:val="Heading2"/>
    <w:uiPriority w:val="9"/>
    <w:rsid w:val="00F75C88"/>
    <w:rPr>
      <w:rFonts w:ascii="Open Sans" w:hAnsi="Open Sans" w:cs="Open Sans"/>
      <w:b/>
      <w:bCs/>
      <w:sz w:val="24"/>
      <w:szCs w:val="24"/>
    </w:rPr>
  </w:style>
  <w:style w:type="paragraph" w:styleId="NormalWeb">
    <w:name w:val="Normal (Web)"/>
    <w:basedOn w:val="Normal"/>
    <w:uiPriority w:val="99"/>
    <w:unhideWhenUsed/>
    <w:rsid w:val="0079590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Slade</dc:creator>
  <cp:keywords/>
  <dc:description/>
  <cp:lastModifiedBy>Caitlin Bartholic</cp:lastModifiedBy>
  <cp:revision>3</cp:revision>
  <dcterms:created xsi:type="dcterms:W3CDTF">2026-01-26T02:14:00Z</dcterms:created>
  <dcterms:modified xsi:type="dcterms:W3CDTF">2026-01-26T02:14:00Z</dcterms:modified>
</cp:coreProperties>
</file>